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customXML/item1.xml" ContentType="application/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rPr>
          <w:b/>
          <w:rFonts w:ascii="Calibri" w:cs="Calibri" w:eastAsia="Calibri" w:hAnsi="Calibri"/>
          <w:sz w:val="24"/>
          <w:szCs w:val="24"/>
        </w:rPr>
      </w:pPr>
      <w:r w:rsidR="00000000" w:rsidDel="00000000" w:rsidRPr="00000000">
        <w:rPr>
          <w:rtl w:val="0"/>
          <w:b/>
          <w:rFonts w:ascii="Calibri" w:cs="Calibri" w:eastAsia="Calibri" w:hAnsi="Calibri"/>
          <w:sz w:val="24"/>
          <w:szCs w:val="24"/>
        </w:rPr>
        <w:t>2021 APTA BOARD MEETING</w:t>
      </w:r>
    </w:p>
    <w:p w:rsidR="00000000" w:rsidDel="00000000" w:rsidRDefault="00000000" w14:paraId="00000002" w:rsidP="00000000" w:rsidRPr="00000000">
      <w:pPr>
        <w:rPr>
          <w:b/>
          <w:rFonts w:ascii="Calibri" w:cs="Calibri" w:eastAsia="Calibri" w:hAnsi="Calibri"/>
          <w:sz w:val="24"/>
          <w:szCs w:val="24"/>
        </w:rPr>
      </w:pPr>
      <w:r w:rsidR="00000000" w:rsidDel="00000000" w:rsidRPr="00000000">
        <w:rPr>
          <w:rtl w:val="0"/>
          <w:b/>
          <w:rFonts w:ascii="Calibri" w:cs="Calibri" w:eastAsia="Calibri" w:hAnsi="Calibri"/>
          <w:sz w:val="24"/>
          <w:szCs w:val="24"/>
        </w:rPr>
        <w:t>HALL OF FAME SELECTION COMMITTEE</w:t>
      </w:r>
    </w:p>
    <w:p w:rsidR="00000000" w:rsidDel="00000000" w:rsidRDefault="00000000" w14:paraId="00000003" w:rsidP="00000000" w:rsidRPr="00000000">
      <w:pPr>
        <w:rPr>
          <w:rFonts w:ascii="Calibri" w:cs="Calibri" w:eastAsia="Calibri" w:hAnsi="Calibri"/>
          <w:sz w:val="24"/>
          <w:szCs w:val="24"/>
        </w:rPr>
      </w:pPr>
      <w:r w:rsidR="00000000" w:rsidDel="00000000" w:rsidRPr="00000000">
        <w:rPr>
          <w:rtl w:val="0"/>
        </w:rPr>
      </w:r>
    </w:p>
    <w:p w:rsidR="00000000" w:rsidDel="00000000" w:rsidRDefault="00000000" w14:paraId="00000004" w:rsidP="00000000" w:rsidRPr="00000000">
      <w:pPr>
        <w:rPr>
          <w:rFonts w:ascii="Calibri" w:cs="Calibri" w:eastAsia="Calibri" w:hAnsi="Calibri"/>
          <w:sz w:val="24"/>
          <w:szCs w:val="24"/>
        </w:rPr>
      </w:pPr>
      <w:r w:rsidR="00000000" w:rsidDel="00000000" w:rsidRPr="00000000">
        <w:rPr>
          <w:rtl w:val="0"/>
          <w:b/>
          <w:rFonts w:ascii="Calibri" w:cs="Calibri" w:eastAsia="Calibri" w:hAnsi="Calibri"/>
          <w:sz w:val="24"/>
          <w:szCs w:val="24"/>
        </w:rPr>
        <w:t>MISSION STATEMENT</w:t>
      </w:r>
      <w:r w:rsidR="00000000" w:rsidDel="00000000" w:rsidRPr="00000000">
        <w:rPr>
          <w:rtl w:val="0"/>
        </w:rPr>
      </w:r>
    </w:p>
    <w:p w:rsidR="00000000" w:rsidDel="00000000" w:rsidRDefault="00000000" w14:paraId="00000005" w:rsidP="00000000" w:rsidRPr="00000000">
      <w:pPr>
        <w:rPr>
          <w:rFonts w:ascii="Calibri" w:cs="Calibri" w:eastAsia="Calibri" w:hAnsi="Calibri"/>
          <w:sz w:val="24"/>
          <w:szCs w:val="24"/>
        </w:rPr>
      </w:pPr>
      <w:r w:rsidR="00000000" w:rsidDel="00000000" w:rsidRPr="00000000">
        <w:rPr>
          <w:rtl w:val="0"/>
          <w:rFonts w:ascii="Calibri" w:cs="Calibri" w:eastAsia="Calibri" w:hAnsi="Calibri"/>
          <w:sz w:val="24"/>
          <w:szCs w:val="24"/>
        </w:rPr>
        <w:t xml:space="preserve">Induction into the Platform Tennis Hall of Fame is the highest award that can be earned in platform tennis. It is presented to individuals who have achieved truly exceptional results in the play of platform tennis and/or have made truly exceptional contributions to the growth, development and leadership of the game. Recipients have also demonstrated a high level of integrity, sportsmanship, and consideration for others and thus earned the respect and admiration that they deserve for their endeavors in platform tennis. </w:t>
      </w:r>
    </w:p>
    <w:p w:rsidR="00000000" w:rsidDel="00000000" w:rsidRDefault="00000000" w14:paraId="00000006" w:rsidP="00000000" w:rsidRPr="00000000">
      <w:pPr>
        <w:rPr>
          <w:rFonts w:ascii="Calibri" w:cs="Calibri" w:eastAsia="Calibri" w:hAnsi="Calibri"/>
          <w:sz w:val="24"/>
          <w:szCs w:val="24"/>
        </w:rPr>
      </w:pPr>
      <w:r w:rsidR="00000000" w:rsidDel="00000000" w:rsidRPr="00000000">
        <w:rPr>
          <w:rtl w:val="0"/>
          <w:rFonts w:ascii="Calibri" w:cs="Calibri" w:eastAsia="Calibri" w:hAnsi="Calibri"/>
          <w:sz w:val="24"/>
          <w:szCs w:val="24"/>
        </w:rPr>
        <w:t>The HOF committee seeks input from the entire platform tennis community to identify candidates who meet this criteria. Currently, there are 89 individuals who have been inducted into the Platform Tennis Hall of Fame.</w:t>
      </w:r>
    </w:p>
    <w:p w:rsidR="00000000" w:rsidDel="00000000" w:rsidRDefault="00000000" w14:paraId="00000007" w:rsidP="00000000" w:rsidRPr="00000000">
      <w:pPr>
        <w:rPr>
          <w:rFonts w:ascii="Calibri" w:cs="Calibri" w:eastAsia="Calibri" w:hAnsi="Calibri"/>
          <w:sz w:val="24"/>
          <w:szCs w:val="24"/>
        </w:rPr>
      </w:pPr>
      <w:r w:rsidR="00000000" w:rsidDel="00000000" w:rsidRPr="00000000">
        <w:rPr>
          <w:rtl w:val="0"/>
        </w:rPr>
      </w:r>
    </w:p>
    <w:p w:rsidR="00000000" w:rsidDel="00000000" w:rsidRDefault="00000000" w14:paraId="00000008" w:rsidP="00000000" w:rsidRPr="00000000">
      <w:pPr>
        <w:rPr>
          <w:rFonts w:ascii="Calibri" w:cs="Calibri" w:eastAsia="Calibri" w:hAnsi="Calibri"/>
          <w:sz w:val="24"/>
          <w:szCs w:val="24"/>
        </w:rPr>
      </w:pPr>
      <w:r w:rsidR="00000000" w:rsidDel="00000000" w:rsidRPr="00000000">
        <w:rPr>
          <w:rtl w:val="0"/>
          <w:b/>
          <w:rFonts w:ascii="Calibri" w:cs="Calibri" w:eastAsia="Calibri" w:hAnsi="Calibri"/>
          <w:sz w:val="24"/>
          <w:szCs w:val="24"/>
        </w:rPr>
        <w:t>ACCOMPLISHMENTS</w:t>
      </w:r>
      <w:r w:rsidR="00000000" w:rsidDel="00000000" w:rsidRPr="00000000">
        <w:rPr>
          <w:rtl w:val="0"/>
        </w:rPr>
      </w:r>
    </w:p>
    <w:p w:rsidR="00000000" w:rsidDel="00000000" w:rsidRDefault="00000000" w14:paraId="00000009"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both"/>
        <w:ind w:left="720"/>
        <w:ind w:right="0"/>
        <w:ind w:hanging="360"/>
        <w:spacing w:before="0" w:after="0" w:line="240" w:lineRule="auto"/>
      </w:pPr>
      <w:r w:rsidR="00000000" w:rsidDel="00000000" w:rsidRPr="00000000">
        <w:rPr>
          <w:rtl w:val="0"/>
          <w:b w:val="0"/>
          <w:i w:val="0"/>
          <w:u w:val="none"/>
          <w:strike w:val="0"/>
          <w:color w:val="000000"/>
          <w:rFonts w:ascii="Arial" w:cs="Arial" w:eastAsia="Arial" w:hAnsi="Arial"/>
          <w:sz w:val="22"/>
          <w:szCs w:val="22"/>
          <w:smallCaps w:val="0"/>
          <w:shd w:fill="auto" w:val="clear"/>
        </w:rPr>
        <w:t>Our committee carefully reviewed potential nominees for the Platform Tennis Hall of Fame. However, there were no nominees submitted to the APTA Board in 2021.</w:t>
      </w:r>
    </w:p>
    <w:p w:rsidR="00000000" w:rsidDel="00000000" w:rsidRDefault="00000000" w14:paraId="0000000A" w:rsidP="00000000" w:rsidRPr="00000000">
      <w:pPr>
        <w:jc w:val="both"/>
      </w:pPr>
      <w:r w:rsidR="00000000" w:rsidDel="00000000" w:rsidRPr="00000000">
        <w:rPr>
          <w:rtl w:val="0"/>
        </w:rPr>
      </w:r>
    </w:p>
    <w:p w:rsidR="00000000" w:rsidDel="00000000" w:rsidRDefault="00000000" w14:paraId="0000000B"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both"/>
        <w:ind w:left="720"/>
        <w:ind w:right="0"/>
        <w:ind w:hanging="360"/>
        <w:spacing w:before="0" w:after="0" w:line="240" w:lineRule="auto"/>
      </w:pPr>
      <w:r w:rsidR="00000000" w:rsidDel="00000000" w:rsidRPr="00000000">
        <w:rPr>
          <w:rtl w:val="0"/>
          <w:b w:val="0"/>
          <w:i w:val="0"/>
          <w:u w:val="none"/>
          <w:strike w:val="0"/>
          <w:color w:val="000000"/>
          <w:rFonts w:ascii="Arial" w:cs="Arial" w:eastAsia="Arial" w:hAnsi="Arial"/>
          <w:sz w:val="22"/>
          <w:szCs w:val="22"/>
          <w:smallCaps w:val="0"/>
          <w:shd w:fill="auto" w:val="clear"/>
        </w:rPr>
        <w:t>There is a very strong group of outstanding candidates in the pipeline to be considered over the near term. The committee conducted an in-depth discussion of this group.</w:t>
      </w:r>
    </w:p>
    <w:p w:rsidR="00000000" w:rsidDel="00000000" w:rsidRDefault="00000000" w14:paraId="0000000C" w:rsidP="00000000" w:rsidRPr="00000000">
      <w:pPr>
        <w:jc w:val="both"/>
      </w:pPr>
      <w:r w:rsidR="00000000" w:rsidDel="00000000" w:rsidRPr="00000000">
        <w:rPr>
          <w:rtl w:val="0"/>
        </w:rPr>
      </w:r>
    </w:p>
    <w:p w:rsidR="00000000" w:rsidDel="00000000" w:rsidRDefault="00000000" w14:paraId="0000000D"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both"/>
        <w:ind w:left="720"/>
        <w:ind w:right="0"/>
        <w:ind w:hanging="360"/>
        <w:spacing w:before="0" w:after="0" w:line="240" w:lineRule="auto"/>
      </w:pPr>
      <w:r w:rsidR="00000000" w:rsidDel="00000000" w:rsidRPr="00000000">
        <w:rPr>
          <w:rtl w:val="0"/>
          <w:b w:val="0"/>
          <w:i w:val="0"/>
          <w:u w:val="none"/>
          <w:strike w:val="0"/>
          <w:color w:val="000000"/>
          <w:rFonts w:ascii="Arial" w:cs="Arial" w:eastAsia="Arial" w:hAnsi="Arial"/>
          <w:sz w:val="22"/>
          <w:szCs w:val="22"/>
          <w:smallCaps w:val="0"/>
          <w:shd w:fill="auto" w:val="clear"/>
        </w:rPr>
        <w:t>We have strengthened our metrics reporting to include all Grand Prix tournaments as well as performance at National Championships. We continue to gather extensive qualitative data on leadership, sportsmanship, and other important achievements in growing the game.</w:t>
      </w:r>
    </w:p>
    <w:p w:rsidR="00000000" w:rsidDel="00000000" w:rsidRDefault="00000000" w14:paraId="0000000E" w:rsidP="00000000" w:rsidRPr="00000000">
      <w:pPr>
        <w:jc w:val="both"/>
      </w:pPr>
      <w:r w:rsidR="00000000" w:rsidDel="00000000" w:rsidRPr="00000000">
        <w:rPr>
          <w:rtl w:val="0"/>
        </w:rPr>
      </w:r>
    </w:p>
    <w:p w:rsidR="00000000" w:rsidDel="00000000" w:rsidRDefault="00000000" w14:paraId="0000000F"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both"/>
        <w:ind w:left="720"/>
        <w:ind w:right="0"/>
        <w:ind w:hanging="360"/>
        <w:spacing w:before="0" w:after="0" w:line="240" w:lineRule="auto"/>
      </w:pPr>
      <w:r w:rsidR="00000000" w:rsidDel="00000000" w:rsidRPr="00000000">
        <w:rPr>
          <w:rtl w:val="0"/>
          <w:b w:val="0"/>
          <w:i w:val="0"/>
          <w:u w:val="none"/>
          <w:strike w:val="0"/>
          <w:color w:val="000000"/>
          <w:rFonts w:ascii="Arial" w:cs="Arial" w:eastAsia="Arial" w:hAnsi="Arial"/>
          <w:sz w:val="22"/>
          <w:szCs w:val="22"/>
          <w:smallCaps w:val="0"/>
          <w:shd w:fill="auto" w:val="clear"/>
        </w:rPr>
        <w:t>Executed a smooth succession and handoff to Tim McAvoy as the new Chair.</w:t>
      </w:r>
    </w:p>
    <w:p w:rsidR="00000000" w:rsidDel="00000000" w:rsidRDefault="00000000" w14:paraId="00000010" w:rsidP="00000000" w:rsidRPr="00000000">
      <w:pPr>
        <w:jc w:val="both"/>
      </w:pPr>
      <w:r w:rsidR="00000000" w:rsidDel="00000000" w:rsidRPr="00000000">
        <w:rPr>
          <w:rtl w:val="0"/>
        </w:rPr>
      </w:r>
    </w:p>
    <w:p w:rsidR="00000000" w:rsidDel="00000000" w:rsidRDefault="00000000" w14:paraId="00000011" w:rsidP="00000000" w:rsidRPr="00000000">
      <w:pPr>
        <w:jc w:val="both"/>
      </w:pPr>
      <w:r w:rsidR="00000000" w:rsidDel="00000000" w:rsidRPr="00000000">
        <w:rPr>
          <w:rtl w:val="0"/>
          <w:b/>
          <w:rFonts w:ascii="Calibri"/>
          <w:sz w:val="24"/>
        </w:rPr>
        <w:t>GOALS</w:t>
      </w:r>
      <w:r w:rsidR="00000000" w:rsidDel="00000000" w:rsidRPr="00000000">
        <w:rPr>
          <w:rtl w:val="0"/>
        </w:rPr>
      </w:r>
    </w:p>
    <w:p w:rsidR="00000000" w:rsidDel="00000000" w:rsidRDefault="00000000" w14:paraId="00000012"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both"/>
        <w:ind w:left="720"/>
        <w:ind w:right="0"/>
        <w:ind w:hanging="360"/>
        <w:spacing w:before="0" w:after="0" w:line="240" w:lineRule="auto"/>
      </w:pPr>
      <w:r w:rsidR="00000000" w:rsidDel="00000000" w:rsidRPr="00000000">
        <w:rPr>
          <w:rtl w:val="0"/>
          <w:b w:val="0"/>
          <w:i w:val="0"/>
          <w:u w:val="none"/>
          <w:strike w:val="0"/>
          <w:color w:val="000000"/>
          <w:rFonts w:ascii="Arial" w:cs="Arial" w:eastAsia="Arial" w:hAnsi="Arial"/>
          <w:sz w:val="22"/>
          <w:szCs w:val="22"/>
          <w:smallCaps w:val="0"/>
          <w:shd w:fill="auto" w:val="clear"/>
        </w:rPr>
        <w:t>Add a new committee member bringing the total back to target level of seven.</w:t>
      </w:r>
    </w:p>
    <w:p w:rsidR="00000000" w:rsidDel="00000000" w:rsidRDefault="00000000" w14:paraId="00000013" w:rsidP="00000000" w:rsidRPr="00000000">
      <w:pPr>
        <w:jc w:val="both"/>
      </w:pPr>
      <w:r w:rsidR="00000000" w:rsidDel="00000000" w:rsidRPr="00000000">
        <w:rPr>
          <w:rtl w:val="0"/>
        </w:rPr>
      </w:r>
    </w:p>
    <w:p w:rsidR="00000000" w:rsidDel="00000000" w:rsidRDefault="00000000" w14:paraId="00000014"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both"/>
        <w:ind w:left="720"/>
        <w:ind w:right="0"/>
        <w:ind w:hanging="360"/>
        <w:spacing w:before="0" w:after="0" w:line="240" w:lineRule="auto"/>
      </w:pPr>
      <w:r w:rsidR="00000000" w:rsidDel="00000000" w:rsidRPr="00000000">
        <w:rPr>
          <w:rtl w:val="0"/>
          <w:b w:val="0"/>
          <w:i w:val="0"/>
          <w:u w:val="none"/>
          <w:strike w:val="0"/>
          <w:color w:val="000000"/>
          <w:rFonts w:ascii="Arial" w:cs="Arial" w:eastAsia="Arial" w:hAnsi="Arial"/>
          <w:sz w:val="22"/>
          <w:szCs w:val="22"/>
          <w:smallCaps w:val="0"/>
          <w:shd w:fill="auto" w:val="clear"/>
        </w:rPr>
        <w:t>Continue to expand the outreach to the APTA membership for HOF nominations.</w:t>
      </w:r>
    </w:p>
    <w:p w:rsidR="00000000" w:rsidDel="00000000" w:rsidRDefault="00000000" w14:paraId="00000015" w:rsidP="00000000" w:rsidRPr="00000000">
      <w:pPr>
        <w:jc w:val="both"/>
      </w:pPr>
      <w:r w:rsidR="00000000" w:rsidDel="00000000" w:rsidRPr="00000000">
        <w:rPr>
          <w:rtl w:val="0"/>
        </w:rPr>
      </w:r>
    </w:p>
    <w:p w:rsidR="00000000" w:rsidDel="00000000" w:rsidRDefault="00000000" w14:paraId="00000016"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both"/>
        <w:ind w:left="720"/>
        <w:ind w:right="0"/>
        <w:ind w:hanging="360"/>
        <w:spacing w:before="0" w:after="0" w:line="240" w:lineRule="auto"/>
      </w:pPr>
      <w:r w:rsidR="00000000" w:rsidDel="00000000" w:rsidRPr="00000000">
        <w:rPr>
          <w:rtl w:val="0"/>
          <w:b w:val="0"/>
          <w:i w:val="0"/>
          <w:u w:val="none"/>
          <w:strike w:val="0"/>
          <w:color w:val="000000"/>
          <w:rFonts w:ascii="Arial" w:cs="Arial" w:eastAsia="Arial" w:hAnsi="Arial"/>
          <w:sz w:val="22"/>
          <w:szCs w:val="22"/>
          <w:smallCaps w:val="0"/>
          <w:shd w:fill="auto" w:val="clear"/>
        </w:rPr>
        <w:t>Celebrate the history of the game at each Hall of Fame Induction Ceremony.</w:t>
      </w:r>
    </w:p>
    <w:p w:rsidR="00000000" w:rsidDel="00000000" w:rsidRDefault="00000000" w14:paraId="00000017" w:rsidP="00000000" w:rsidRPr="00000000">
      <w:pPr>
        <w:jc w:val="both"/>
      </w:pPr>
      <w:r w:rsidR="00000000" w:rsidDel="00000000" w:rsidRPr="00000000">
        <w:rPr>
          <w:rtl w:val="0"/>
        </w:rPr>
      </w:r>
    </w:p>
    <w:p w:rsidR="00000000" w:rsidDel="00000000" w:rsidRDefault="00000000" w14:paraId="00000018" w:rsidP="00000000" w:rsidRPr="00000000">
      <w:pPr>
        <w:jc w:val="both"/>
      </w:pPr>
      <w:r w:rsidR="00000000" w:rsidDel="00000000" w:rsidRPr="00000000">
        <w:rPr>
          <w:rtl w:val="0"/>
        </w:rPr>
        <w:t>Submitted by Chair Steve Baird</w:t>
      </w:r>
    </w:p>
    <w:sectPr>
      <w:pgNumType w:start="1"/>
      <w:pgSz w:w="12240" w:h="15840" w:orient="portrait"/>
      <w:pgMar w:left="1340" w:right="1460" w:top="1400" w:bottom="280" w:header="720" w:footer="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rial"/>
  <w:font w:name="Georgia"/>
  <w:font w:name="Calibri"/>
  <w:font w:name="Courier New"/>
  <w:font w:name="Noto Sans Symbols"/>
  <w:font w:name="Cambria"/>
  <w:font w:name="Symbol"/>
  <w:font w:name="Times New Roman"/>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multiLevelType w:val="hybridMultilevel"/>
    <w:lvl w:ilvl="0">
      <w:numFmt w:val="bullet"/>
      <w:lvlText w:val="▪"/>
      <w:start w:val="1"/>
      <w:rPr>
        <w:rFonts w:ascii="Noto Sans Symbols" w:cs="Noto Sans Symbols" w:eastAsia="Noto Sans Symbols" w:hAnsi="Noto Sans Symbols"/>
      </w:rPr>
      <w:pPr>
        <w:ind w:left="720"/>
        <w:ind w:hanging="360"/>
      </w:pPr>
      <w:lvlJc w:val="left"/>
    </w:lvl>
    <w:lvl w:ilvl="1">
      <w:numFmt w:val="bullet"/>
      <w:lvlText w:val="o"/>
      <w:start w:val="1"/>
      <w:rPr>
        <w:rFonts w:ascii="Courier New" w:cs="Courier New" w:eastAsia="Courier New" w:hAnsi="Courier New"/>
      </w:rPr>
      <w:pPr>
        <w:ind w:left="1440"/>
        <w:ind w:hanging="360"/>
      </w:pPr>
      <w:lvlJc w:val="left"/>
    </w:lvl>
    <w:lvl w:ilvl="2">
      <w:numFmt w:val="bullet"/>
      <w:lvlText w:val="▪"/>
      <w:start w:val="1"/>
      <w:rPr>
        <w:rFonts w:ascii="Noto Sans Symbols" w:cs="Noto Sans Symbols" w:eastAsia="Noto Sans Symbols" w:hAnsi="Noto Sans Symbols"/>
      </w:rPr>
      <w:pPr>
        <w:ind w:left="2160"/>
        <w:ind w:hanging="360"/>
      </w:pPr>
      <w:lvlJc w:val="left"/>
    </w:lvl>
    <w:lvl w:ilvl="3">
      <w:numFmt w:val="bullet"/>
      <w:lvlText w:val="●"/>
      <w:start w:val="1"/>
      <w:rPr>
        <w:rFonts w:ascii="Noto Sans Symbols" w:cs="Noto Sans Symbols" w:eastAsia="Noto Sans Symbols" w:hAnsi="Noto Sans Symbols"/>
      </w:rPr>
      <w:pPr>
        <w:ind w:left="2880"/>
        <w:ind w:hanging="360"/>
      </w:pPr>
      <w:lvlJc w:val="left"/>
    </w:lvl>
    <w:lvl w:ilvl="4">
      <w:numFmt w:val="bullet"/>
      <w:lvlText w:val="o"/>
      <w:start w:val="1"/>
      <w:rPr>
        <w:rFonts w:ascii="Courier New" w:cs="Courier New" w:eastAsia="Courier New" w:hAnsi="Courier New"/>
      </w:rPr>
      <w:pPr>
        <w:ind w:left="3600"/>
        <w:ind w:hanging="360"/>
      </w:pPr>
      <w:lvlJc w:val="left"/>
    </w:lvl>
    <w:lvl w:ilvl="5">
      <w:numFmt w:val="bullet"/>
      <w:lvlText w:val="▪"/>
      <w:start w:val="1"/>
      <w:rPr>
        <w:rFonts w:ascii="Noto Sans Symbols" w:cs="Noto Sans Symbols" w:eastAsia="Noto Sans Symbols" w:hAnsi="Noto Sans Symbols"/>
      </w:rPr>
      <w:pPr>
        <w:ind w:left="4320"/>
        <w:ind w:hanging="360"/>
      </w:pPr>
      <w:lvlJc w:val="left"/>
    </w:lvl>
    <w:lvl w:ilvl="6">
      <w:numFmt w:val="bullet"/>
      <w:lvlText w:val="●"/>
      <w:start w:val="1"/>
      <w:rPr>
        <w:rFonts w:ascii="Noto Sans Symbols" w:cs="Noto Sans Symbols" w:eastAsia="Noto Sans Symbols" w:hAnsi="Noto Sans Symbols"/>
      </w:rPr>
      <w:pPr>
        <w:ind w:left="5040"/>
        <w:ind w:hanging="360"/>
      </w:pPr>
      <w:lvlJc w:val="left"/>
    </w:lvl>
    <w:lvl w:ilvl="7">
      <w:numFmt w:val="bullet"/>
      <w:lvlText w:val="o"/>
      <w:start w:val="1"/>
      <w:rPr>
        <w:rFonts w:ascii="Courier New" w:cs="Courier New" w:eastAsia="Courier New" w:hAnsi="Courier New"/>
      </w:rPr>
      <w:pPr>
        <w:ind w:left="5760"/>
        <w:ind w:hanging="360"/>
      </w:pPr>
      <w:lvlJc w:val="left"/>
    </w:lvl>
    <w:lvl w:ilvl="8">
      <w:numFmt w:val="bullet"/>
      <w:lvlText w:val="▪"/>
      <w:start w:val="1"/>
      <w:rPr>
        <w:rFonts w:ascii="Noto Sans Symbols" w:cs="Noto Sans Symbols" w:eastAsia="Noto Sans Symbols" w:hAnsi="Noto Sans Symbols"/>
      </w:rPr>
      <w:pPr>
        <w:ind w:left="6480"/>
        <w:ind w:hanging="360"/>
      </w:pPr>
      <w:lvlJc w:val="left"/>
    </w:lvl>
  </w:abstractNum>
  <w:abstractNum w:abstractNumId="2">
    <w:multiLevelType w:val="hybridMultilevel"/>
    <w:lvl w:ilvl="0">
      <w:numFmt w:val="bullet"/>
      <w:lvlText w:val="▪"/>
      <w:start w:val="1"/>
      <w:rPr>
        <w:rFonts w:ascii="Noto Sans Symbols" w:cs="Noto Sans Symbols" w:eastAsia="Noto Sans Symbols" w:hAnsi="Noto Sans Symbols"/>
      </w:rPr>
      <w:pPr>
        <w:ind w:left="720"/>
        <w:ind w:hanging="360"/>
      </w:pPr>
      <w:lvlJc w:val="left"/>
    </w:lvl>
    <w:lvl w:ilvl="1">
      <w:numFmt w:val="bullet"/>
      <w:lvlText w:val="o"/>
      <w:start w:val="1"/>
      <w:rPr>
        <w:rFonts w:ascii="Courier New" w:cs="Courier New" w:eastAsia="Courier New" w:hAnsi="Courier New"/>
      </w:rPr>
      <w:pPr>
        <w:ind w:left="1440"/>
        <w:ind w:hanging="360"/>
      </w:pPr>
      <w:lvlJc w:val="left"/>
    </w:lvl>
    <w:lvl w:ilvl="2">
      <w:numFmt w:val="bullet"/>
      <w:lvlText w:val="▪"/>
      <w:start w:val="1"/>
      <w:rPr>
        <w:rFonts w:ascii="Noto Sans Symbols" w:cs="Noto Sans Symbols" w:eastAsia="Noto Sans Symbols" w:hAnsi="Noto Sans Symbols"/>
      </w:rPr>
      <w:pPr>
        <w:ind w:left="2160"/>
        <w:ind w:hanging="360"/>
      </w:pPr>
      <w:lvlJc w:val="left"/>
    </w:lvl>
    <w:lvl w:ilvl="3">
      <w:numFmt w:val="bullet"/>
      <w:lvlText w:val="●"/>
      <w:start w:val="1"/>
      <w:rPr>
        <w:rFonts w:ascii="Noto Sans Symbols" w:cs="Noto Sans Symbols" w:eastAsia="Noto Sans Symbols" w:hAnsi="Noto Sans Symbols"/>
      </w:rPr>
      <w:pPr>
        <w:ind w:left="2880"/>
        <w:ind w:hanging="360"/>
      </w:pPr>
      <w:lvlJc w:val="left"/>
    </w:lvl>
    <w:lvl w:ilvl="4">
      <w:numFmt w:val="bullet"/>
      <w:lvlText w:val="o"/>
      <w:start w:val="1"/>
      <w:rPr>
        <w:rFonts w:ascii="Courier New" w:cs="Courier New" w:eastAsia="Courier New" w:hAnsi="Courier New"/>
      </w:rPr>
      <w:pPr>
        <w:ind w:left="3600"/>
        <w:ind w:hanging="360"/>
      </w:pPr>
      <w:lvlJc w:val="left"/>
    </w:lvl>
    <w:lvl w:ilvl="5">
      <w:numFmt w:val="bullet"/>
      <w:lvlText w:val="▪"/>
      <w:start w:val="1"/>
      <w:rPr>
        <w:rFonts w:ascii="Noto Sans Symbols" w:cs="Noto Sans Symbols" w:eastAsia="Noto Sans Symbols" w:hAnsi="Noto Sans Symbols"/>
      </w:rPr>
      <w:pPr>
        <w:ind w:left="4320"/>
        <w:ind w:hanging="360"/>
      </w:pPr>
      <w:lvlJc w:val="left"/>
    </w:lvl>
    <w:lvl w:ilvl="6">
      <w:numFmt w:val="bullet"/>
      <w:lvlText w:val="●"/>
      <w:start w:val="1"/>
      <w:rPr>
        <w:rFonts w:ascii="Noto Sans Symbols" w:cs="Noto Sans Symbols" w:eastAsia="Noto Sans Symbols" w:hAnsi="Noto Sans Symbols"/>
      </w:rPr>
      <w:pPr>
        <w:ind w:left="5040"/>
        <w:ind w:hanging="360"/>
      </w:pPr>
      <w:lvlJc w:val="left"/>
    </w:lvl>
    <w:lvl w:ilvl="7">
      <w:numFmt w:val="bullet"/>
      <w:lvlText w:val="o"/>
      <w:start w:val="1"/>
      <w:rPr>
        <w:rFonts w:ascii="Courier New" w:cs="Courier New" w:eastAsia="Courier New" w:hAnsi="Courier New"/>
      </w:rPr>
      <w:pPr>
        <w:ind w:left="5760"/>
        <w:ind w:hanging="360"/>
      </w:pPr>
      <w:lvlJc w:val="left"/>
    </w:lvl>
    <w:lvl w:ilvl="8">
      <w:numFmt w:val="bullet"/>
      <w:lvlText w:val="▪"/>
      <w:start w:val="1"/>
      <w:rPr>
        <w:rFonts w:ascii="Noto Sans Symbols" w:cs="Noto Sans Symbols" w:eastAsia="Noto Sans Symbols" w:hAnsi="Noto Sans Symbols"/>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2">
    <w:abstractNumId w:val="2"/>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ascii="Arial" w:cs="Arial" w:eastAsia="Arial" w:hAnsi="Arial"/>
    </w:rPr>
  </w:style>
  <w:style w:type="paragraph" w:styleId="Heading1">
    <w:name w:val="heading 1"/>
    <w:basedOn w:val="Normal"/>
    <w:uiPriority w:val="9"/>
    <w:qFormat w:val="1"/>
    <w:pPr>
      <w:ind w:left="100"/>
      <w:outlineLvl w:val="0"/>
    </w:pPr>
    <w:rPr>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W8/8aN/v1K3aQxFkMWiaqyorDQ==">AMUW2mVWUhO2Rc0MMgJ9kJLWibBiRFYlBO7BIpVigi2y1HAMKv/AklN+98I1AQWnW7pV5D19kOt/5nNNnU7urxSdM7An1mmMTHJ7if1jSoEsBHv5l8hYx0g=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2021-05-25T14:50:00Z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Pages</vt:lpwstr>
  </property>
  <property fmtid="{D5CDD505-2E9C-101B-9397-08002B2CF9AE}" pid="4" name="LastSaved">
    <vt:filetime>2021-05-25T00:00:00Z</vt:filetime>
  </property>
</Properties>
</file>